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3122" w:rsidRDefault="00B53122" w:rsidP="00B53122">
      <w:pPr>
        <w:autoSpaceDE w:val="0"/>
        <w:rPr>
          <w:rFonts w:ascii="Times New Roman" w:eastAsia="Tahoma" w:hAnsi="Times New Roman" w:cs="Tahoma"/>
          <w:b/>
          <w:u w:val="single"/>
        </w:rPr>
      </w:pPr>
    </w:p>
    <w:p w:rsidR="00B53122" w:rsidRPr="00B53122" w:rsidRDefault="00B53122" w:rsidP="00B53122">
      <w:pPr>
        <w:autoSpaceDE w:val="0"/>
        <w:rPr>
          <w:rFonts w:asciiTheme="minorHAnsi" w:hAnsiTheme="minorHAnsi" w:cstheme="minorHAnsi"/>
          <w:sz w:val="24"/>
        </w:rPr>
      </w:pPr>
      <w:r w:rsidRPr="00B53122">
        <w:rPr>
          <w:rFonts w:asciiTheme="minorHAnsi" w:eastAsia="Tahoma" w:hAnsiTheme="minorHAnsi" w:cstheme="minorHAnsi"/>
          <w:b/>
          <w:sz w:val="24"/>
          <w:u w:val="single"/>
        </w:rPr>
        <w:t>Výroční zpráva o činnosti v oblasti poskytování informací podle zákona č. 106/1999 Sb., o svobodném přístupu k informacím, za rok 2O2</w:t>
      </w:r>
      <w:r>
        <w:rPr>
          <w:rFonts w:asciiTheme="minorHAnsi" w:eastAsia="Tahoma" w:hAnsiTheme="minorHAnsi" w:cstheme="minorHAnsi"/>
          <w:b/>
          <w:sz w:val="24"/>
          <w:u w:val="single"/>
        </w:rPr>
        <w:t>4</w:t>
      </w:r>
      <w:r w:rsidRPr="00B53122">
        <w:rPr>
          <w:rFonts w:asciiTheme="minorHAnsi" w:eastAsia="Tahoma" w:hAnsiTheme="minorHAnsi" w:cstheme="minorHAnsi"/>
          <w:b/>
          <w:sz w:val="24"/>
          <w:u w:val="single"/>
        </w:rPr>
        <w:t xml:space="preserve"> za Mateřskou školu Zdislava, Brno, Pellicova 4, </w:t>
      </w:r>
      <w:proofErr w:type="spellStart"/>
      <w:proofErr w:type="gramStart"/>
      <w:r w:rsidRPr="00B53122">
        <w:rPr>
          <w:rFonts w:asciiTheme="minorHAnsi" w:eastAsia="Tahoma" w:hAnsiTheme="minorHAnsi" w:cstheme="minorHAnsi"/>
          <w:b/>
          <w:sz w:val="24"/>
          <w:u w:val="single"/>
        </w:rPr>
        <w:t>p.o</w:t>
      </w:r>
      <w:proofErr w:type="spellEnd"/>
      <w:r w:rsidRPr="00B53122">
        <w:rPr>
          <w:rFonts w:asciiTheme="minorHAnsi" w:eastAsia="Tahoma" w:hAnsiTheme="minorHAnsi" w:cstheme="minorHAnsi"/>
          <w:b/>
          <w:sz w:val="24"/>
          <w:u w:val="single"/>
        </w:rPr>
        <w:t>.</w:t>
      </w:r>
      <w:proofErr w:type="gramEnd"/>
    </w:p>
    <w:p w:rsidR="00B53122" w:rsidRPr="00B53122" w:rsidRDefault="00B53122" w:rsidP="00B53122">
      <w:pPr>
        <w:autoSpaceDE w:val="0"/>
        <w:rPr>
          <w:rFonts w:asciiTheme="minorHAnsi" w:eastAsia="Tahoma" w:hAnsiTheme="minorHAnsi" w:cstheme="minorHAnsi"/>
          <w:sz w:val="24"/>
        </w:rPr>
      </w:pPr>
    </w:p>
    <w:p w:rsidR="00B53122" w:rsidRPr="00B53122" w:rsidRDefault="00B53122" w:rsidP="00B53122">
      <w:pPr>
        <w:autoSpaceDE w:val="0"/>
        <w:spacing w:line="360" w:lineRule="auto"/>
        <w:rPr>
          <w:rFonts w:asciiTheme="minorHAnsi" w:hAnsiTheme="minorHAnsi" w:cstheme="minorHAnsi"/>
          <w:sz w:val="24"/>
        </w:rPr>
      </w:pPr>
      <w:r w:rsidRPr="00B53122">
        <w:rPr>
          <w:rFonts w:asciiTheme="minorHAnsi" w:eastAsia="Tahoma" w:hAnsiTheme="minorHAnsi" w:cstheme="minorHAnsi"/>
          <w:sz w:val="24"/>
        </w:rPr>
        <w:t xml:space="preserve">Počet podaných žádostí o informace: 0 </w:t>
      </w:r>
    </w:p>
    <w:p w:rsidR="00B53122" w:rsidRPr="00B53122" w:rsidRDefault="00B53122" w:rsidP="00B53122">
      <w:pPr>
        <w:autoSpaceDE w:val="0"/>
        <w:spacing w:line="360" w:lineRule="auto"/>
        <w:rPr>
          <w:rFonts w:asciiTheme="minorHAnsi" w:hAnsiTheme="minorHAnsi" w:cstheme="minorHAnsi"/>
          <w:sz w:val="24"/>
        </w:rPr>
      </w:pPr>
      <w:r w:rsidRPr="00B53122">
        <w:rPr>
          <w:rFonts w:asciiTheme="minorHAnsi" w:eastAsia="Tahoma" w:hAnsiTheme="minorHAnsi" w:cstheme="minorHAnsi"/>
          <w:sz w:val="24"/>
        </w:rPr>
        <w:t>Počet vydaných rozhodnutí o odmítnutí žádosti: 0</w:t>
      </w:r>
    </w:p>
    <w:p w:rsidR="00B53122" w:rsidRPr="00B53122" w:rsidRDefault="00B53122" w:rsidP="00B53122">
      <w:pPr>
        <w:autoSpaceDE w:val="0"/>
        <w:spacing w:line="360" w:lineRule="auto"/>
        <w:rPr>
          <w:rFonts w:asciiTheme="minorHAnsi" w:eastAsia="Tahoma" w:hAnsiTheme="minorHAnsi" w:cstheme="minorHAnsi"/>
          <w:sz w:val="24"/>
        </w:rPr>
      </w:pPr>
      <w:r w:rsidRPr="00B53122">
        <w:rPr>
          <w:rFonts w:asciiTheme="minorHAnsi" w:eastAsia="Tahoma" w:hAnsiTheme="minorHAnsi" w:cstheme="minorHAnsi"/>
          <w:sz w:val="24"/>
        </w:rPr>
        <w:t>Počet podaných odvolání proti rozhodnutí: 0</w:t>
      </w:r>
    </w:p>
    <w:p w:rsidR="00B53122" w:rsidRPr="00B53122" w:rsidRDefault="00B53122" w:rsidP="00B53122">
      <w:pPr>
        <w:autoSpaceDE w:val="0"/>
        <w:spacing w:line="360" w:lineRule="auto"/>
        <w:rPr>
          <w:rFonts w:asciiTheme="minorHAnsi" w:eastAsia="Tahoma" w:hAnsiTheme="minorHAnsi" w:cstheme="minorHAnsi"/>
          <w:sz w:val="24"/>
        </w:rPr>
      </w:pPr>
      <w:r w:rsidRPr="00B53122">
        <w:rPr>
          <w:rFonts w:asciiTheme="minorHAnsi" w:eastAsia="Tahoma" w:hAnsiTheme="minorHAnsi" w:cstheme="minorHAnsi"/>
          <w:sz w:val="24"/>
        </w:rPr>
        <w:t>Opis podstatných částí každého rozsudku ve věci přezkoumání zákonnosti rozhodnutí povinného subjektu o odmítnutí žádosti o poskytování informace a přehled všech výdajů, které povinný subjekt vynaložil v souvislosti se soudními řízeními o právech a povinnostech podle tohoto zákona, a to včetně nákladů na své vlastní zaměstnance a nákladů právního zastoupení: nejsou</w:t>
      </w:r>
    </w:p>
    <w:p w:rsidR="00B53122" w:rsidRPr="00B53122" w:rsidRDefault="00B53122" w:rsidP="00B53122">
      <w:pPr>
        <w:autoSpaceDE w:val="0"/>
        <w:spacing w:line="360" w:lineRule="auto"/>
        <w:rPr>
          <w:rFonts w:asciiTheme="minorHAnsi" w:eastAsia="Tahoma" w:hAnsiTheme="minorHAnsi" w:cstheme="minorHAnsi"/>
          <w:sz w:val="24"/>
        </w:rPr>
      </w:pPr>
      <w:r w:rsidRPr="00B53122">
        <w:rPr>
          <w:rFonts w:asciiTheme="minorHAnsi" w:eastAsia="Tahoma" w:hAnsiTheme="minorHAnsi" w:cstheme="minorHAnsi"/>
          <w:sz w:val="24"/>
        </w:rPr>
        <w:t>Výčet poskytnutých výhradních licencí, včetně odůvodnění nezbytnosti poskytnutí výhradní licence: nebyly poskytnuty výhradní licence.</w:t>
      </w:r>
    </w:p>
    <w:p w:rsidR="00B53122" w:rsidRPr="00B53122" w:rsidRDefault="00B53122" w:rsidP="00B53122">
      <w:pPr>
        <w:autoSpaceDE w:val="0"/>
        <w:spacing w:line="360" w:lineRule="auto"/>
        <w:rPr>
          <w:rFonts w:asciiTheme="minorHAnsi" w:eastAsia="Tahoma" w:hAnsiTheme="minorHAnsi" w:cstheme="minorHAnsi"/>
          <w:sz w:val="24"/>
        </w:rPr>
      </w:pPr>
      <w:r w:rsidRPr="00B53122">
        <w:rPr>
          <w:rFonts w:asciiTheme="minorHAnsi" w:eastAsia="Tahoma" w:hAnsiTheme="minorHAnsi" w:cstheme="minorHAnsi"/>
          <w:sz w:val="24"/>
        </w:rPr>
        <w:t>Počet stížností podaných podle §16a, důvody jejich podání a stručný popis způsobu jejich vyřízení: 0</w:t>
      </w:r>
    </w:p>
    <w:p w:rsidR="00B53122" w:rsidRPr="00B53122" w:rsidRDefault="00B53122" w:rsidP="00B53122">
      <w:pPr>
        <w:autoSpaceDE w:val="0"/>
        <w:spacing w:line="360" w:lineRule="auto"/>
        <w:rPr>
          <w:rFonts w:asciiTheme="minorHAnsi" w:eastAsia="Tahoma" w:hAnsiTheme="minorHAnsi" w:cstheme="minorHAnsi"/>
          <w:sz w:val="24"/>
        </w:rPr>
      </w:pPr>
      <w:r w:rsidRPr="00B53122">
        <w:rPr>
          <w:rFonts w:asciiTheme="minorHAnsi" w:eastAsia="Tahoma" w:hAnsiTheme="minorHAnsi" w:cstheme="minorHAnsi"/>
          <w:sz w:val="24"/>
        </w:rPr>
        <w:t>Další informace vztahující se k uplatňování tohoto zákona: nejsou.</w:t>
      </w:r>
    </w:p>
    <w:p w:rsidR="00B53122" w:rsidRPr="00B53122" w:rsidRDefault="00B53122" w:rsidP="00B53122">
      <w:pPr>
        <w:autoSpaceDE w:val="0"/>
        <w:spacing w:line="360" w:lineRule="auto"/>
        <w:rPr>
          <w:rFonts w:asciiTheme="minorHAnsi" w:eastAsia="Tahoma" w:hAnsiTheme="minorHAnsi" w:cstheme="minorHAnsi"/>
          <w:sz w:val="24"/>
        </w:rPr>
      </w:pPr>
    </w:p>
    <w:p w:rsidR="00B53122" w:rsidRPr="00B53122" w:rsidRDefault="00B53122" w:rsidP="00B53122">
      <w:pPr>
        <w:autoSpaceDE w:val="0"/>
        <w:rPr>
          <w:rFonts w:asciiTheme="minorHAnsi" w:eastAsia="Tahoma" w:hAnsiTheme="minorHAnsi" w:cstheme="minorHAnsi"/>
          <w:b/>
          <w:sz w:val="24"/>
          <w:u w:val="single"/>
        </w:rPr>
      </w:pPr>
    </w:p>
    <w:p w:rsidR="00B53122" w:rsidRPr="00B53122" w:rsidRDefault="00B53122" w:rsidP="00B53122">
      <w:pPr>
        <w:autoSpaceDE w:val="0"/>
        <w:rPr>
          <w:rFonts w:asciiTheme="minorHAnsi" w:eastAsia="Tahoma" w:hAnsiTheme="minorHAnsi" w:cstheme="minorHAnsi"/>
          <w:b/>
          <w:sz w:val="24"/>
          <w:u w:val="single"/>
        </w:rPr>
      </w:pPr>
    </w:p>
    <w:p w:rsidR="00B53122" w:rsidRPr="00B53122" w:rsidRDefault="00B53122" w:rsidP="00B53122">
      <w:pPr>
        <w:autoSpaceDE w:val="0"/>
        <w:rPr>
          <w:rFonts w:asciiTheme="minorHAnsi" w:hAnsiTheme="minorHAnsi" w:cstheme="minorHAnsi"/>
          <w:sz w:val="24"/>
        </w:rPr>
      </w:pPr>
      <w:r w:rsidRPr="00B53122">
        <w:rPr>
          <w:rFonts w:asciiTheme="minorHAnsi" w:eastAsia="Tahoma" w:hAnsiTheme="minorHAnsi" w:cstheme="minorHAnsi"/>
          <w:b/>
          <w:sz w:val="24"/>
          <w:u w:val="single"/>
        </w:rPr>
        <w:t xml:space="preserve">Výroční zpráva o činnosti v oblasti poskytování informací podle zákona č. 106/1999 Sb., o svobodném přístupu k informacím, za rok 2O23 za Školní jídelnu Brno, Pellicova 4, </w:t>
      </w:r>
      <w:proofErr w:type="spellStart"/>
      <w:proofErr w:type="gramStart"/>
      <w:r w:rsidRPr="00B53122">
        <w:rPr>
          <w:rFonts w:asciiTheme="minorHAnsi" w:eastAsia="Tahoma" w:hAnsiTheme="minorHAnsi" w:cstheme="minorHAnsi"/>
          <w:b/>
          <w:sz w:val="24"/>
          <w:u w:val="single"/>
        </w:rPr>
        <w:t>p.o</w:t>
      </w:r>
      <w:proofErr w:type="spellEnd"/>
      <w:r w:rsidRPr="00B53122">
        <w:rPr>
          <w:rFonts w:asciiTheme="minorHAnsi" w:eastAsia="Tahoma" w:hAnsiTheme="minorHAnsi" w:cstheme="minorHAnsi"/>
          <w:b/>
          <w:sz w:val="24"/>
          <w:u w:val="single"/>
        </w:rPr>
        <w:t>.</w:t>
      </w:r>
      <w:proofErr w:type="gramEnd"/>
      <w:r w:rsidRPr="00B53122">
        <w:rPr>
          <w:rFonts w:asciiTheme="minorHAnsi" w:eastAsia="Tahoma" w:hAnsiTheme="minorHAnsi" w:cstheme="minorHAnsi"/>
          <w:b/>
          <w:sz w:val="24"/>
          <w:u w:val="single"/>
        </w:rPr>
        <w:t xml:space="preserve"> </w:t>
      </w:r>
    </w:p>
    <w:p w:rsidR="00B53122" w:rsidRPr="00B53122" w:rsidRDefault="00B53122" w:rsidP="00B53122">
      <w:pPr>
        <w:autoSpaceDE w:val="0"/>
        <w:rPr>
          <w:rFonts w:asciiTheme="minorHAnsi" w:eastAsia="Tahoma" w:hAnsiTheme="minorHAnsi" w:cstheme="minorHAnsi"/>
          <w:sz w:val="24"/>
        </w:rPr>
      </w:pPr>
    </w:p>
    <w:p w:rsidR="00B53122" w:rsidRPr="00B53122" w:rsidRDefault="00B53122" w:rsidP="00B53122">
      <w:pPr>
        <w:autoSpaceDE w:val="0"/>
        <w:spacing w:line="360" w:lineRule="auto"/>
        <w:rPr>
          <w:rFonts w:asciiTheme="minorHAnsi" w:hAnsiTheme="minorHAnsi" w:cstheme="minorHAnsi"/>
          <w:sz w:val="24"/>
        </w:rPr>
      </w:pPr>
      <w:r w:rsidRPr="00B53122">
        <w:rPr>
          <w:rFonts w:asciiTheme="minorHAnsi" w:eastAsia="Tahoma" w:hAnsiTheme="minorHAnsi" w:cstheme="minorHAnsi"/>
          <w:sz w:val="24"/>
        </w:rPr>
        <w:t xml:space="preserve">Počet podaných žádostí o informace: 0 </w:t>
      </w:r>
    </w:p>
    <w:p w:rsidR="00B53122" w:rsidRPr="00B53122" w:rsidRDefault="00B53122" w:rsidP="00B53122">
      <w:pPr>
        <w:autoSpaceDE w:val="0"/>
        <w:spacing w:line="360" w:lineRule="auto"/>
        <w:rPr>
          <w:rFonts w:asciiTheme="minorHAnsi" w:hAnsiTheme="minorHAnsi" w:cstheme="minorHAnsi"/>
          <w:sz w:val="24"/>
        </w:rPr>
      </w:pPr>
      <w:r w:rsidRPr="00B53122">
        <w:rPr>
          <w:rFonts w:asciiTheme="minorHAnsi" w:eastAsia="Tahoma" w:hAnsiTheme="minorHAnsi" w:cstheme="minorHAnsi"/>
          <w:sz w:val="24"/>
        </w:rPr>
        <w:t>Počet vydaných rozhodnutí o odmítnutí žádosti: 0</w:t>
      </w:r>
    </w:p>
    <w:p w:rsidR="00B53122" w:rsidRPr="00B53122" w:rsidRDefault="00B53122" w:rsidP="00B53122">
      <w:pPr>
        <w:autoSpaceDE w:val="0"/>
        <w:spacing w:line="360" w:lineRule="auto"/>
        <w:rPr>
          <w:rFonts w:asciiTheme="minorHAnsi" w:eastAsia="Tahoma" w:hAnsiTheme="minorHAnsi" w:cstheme="minorHAnsi"/>
          <w:sz w:val="24"/>
        </w:rPr>
      </w:pPr>
      <w:r w:rsidRPr="00B53122">
        <w:rPr>
          <w:rFonts w:asciiTheme="minorHAnsi" w:eastAsia="Tahoma" w:hAnsiTheme="minorHAnsi" w:cstheme="minorHAnsi"/>
          <w:sz w:val="24"/>
        </w:rPr>
        <w:t>Počet podaných odvolání proti rozhodnutí: 0</w:t>
      </w:r>
    </w:p>
    <w:p w:rsidR="00B53122" w:rsidRDefault="00B53122" w:rsidP="00B53122">
      <w:pPr>
        <w:autoSpaceDE w:val="0"/>
        <w:spacing w:line="360" w:lineRule="auto"/>
        <w:rPr>
          <w:rFonts w:asciiTheme="minorHAnsi" w:eastAsia="Tahoma" w:hAnsiTheme="minorHAnsi" w:cstheme="minorHAnsi"/>
          <w:sz w:val="24"/>
        </w:rPr>
      </w:pPr>
      <w:r w:rsidRPr="00B53122">
        <w:rPr>
          <w:rFonts w:asciiTheme="minorHAnsi" w:eastAsia="Tahoma" w:hAnsiTheme="minorHAnsi" w:cstheme="minorHAnsi"/>
          <w:sz w:val="24"/>
        </w:rPr>
        <w:t xml:space="preserve">Opis podstatných částí každého rozsudku ve věci přezkoumání zákonnosti rozhodnutí povinného subjektu o odmítnutí žádosti o poskytování informace a přehled všech výdajů, které povinný subjekt vynaložil v souvislosti se soudními řízeními o právech a povinnostech podle tohoto zákona, a to včetně nákladů na své vlastní zaměstnance a nákladů právního </w:t>
      </w:r>
    </w:p>
    <w:p w:rsidR="00B53122" w:rsidRDefault="00B53122" w:rsidP="00B53122">
      <w:pPr>
        <w:autoSpaceDE w:val="0"/>
        <w:spacing w:line="360" w:lineRule="auto"/>
        <w:rPr>
          <w:rFonts w:asciiTheme="minorHAnsi" w:eastAsia="Tahoma" w:hAnsiTheme="minorHAnsi" w:cstheme="minorHAnsi"/>
          <w:sz w:val="24"/>
        </w:rPr>
      </w:pPr>
      <w:r>
        <w:rPr>
          <w:rFonts w:asciiTheme="minorHAnsi" w:eastAsia="Tahoma" w:hAnsiTheme="minorHAnsi" w:cstheme="minorHAnsi"/>
          <w:sz w:val="24"/>
        </w:rPr>
        <w:t xml:space="preserve">Zastoupení nejsou. </w:t>
      </w:r>
    </w:p>
    <w:p w:rsidR="00B53122" w:rsidRPr="00B53122" w:rsidRDefault="00B53122" w:rsidP="00B53122">
      <w:pPr>
        <w:autoSpaceDE w:val="0"/>
        <w:spacing w:line="360" w:lineRule="auto"/>
        <w:rPr>
          <w:rFonts w:asciiTheme="minorHAnsi" w:eastAsia="Tahoma" w:hAnsiTheme="minorHAnsi" w:cstheme="minorHAnsi"/>
          <w:sz w:val="24"/>
        </w:rPr>
      </w:pPr>
      <w:r w:rsidRPr="00B53122">
        <w:rPr>
          <w:rFonts w:asciiTheme="minorHAnsi" w:eastAsia="Tahoma" w:hAnsiTheme="minorHAnsi" w:cstheme="minorHAnsi"/>
          <w:sz w:val="24"/>
        </w:rPr>
        <w:lastRenderedPageBreak/>
        <w:t>Výčet poskytnutých výhradních licencí, včetně odůvodnění nezbytnosti poskytnutí výhradní licence: nebyly poskytnuty výhradní licence.</w:t>
      </w:r>
    </w:p>
    <w:p w:rsidR="00B53122" w:rsidRPr="00B53122" w:rsidRDefault="00B53122" w:rsidP="00B53122">
      <w:pPr>
        <w:autoSpaceDE w:val="0"/>
        <w:spacing w:line="360" w:lineRule="auto"/>
        <w:rPr>
          <w:rFonts w:asciiTheme="minorHAnsi" w:eastAsia="Tahoma" w:hAnsiTheme="minorHAnsi" w:cstheme="minorHAnsi"/>
          <w:sz w:val="24"/>
        </w:rPr>
      </w:pPr>
      <w:r w:rsidRPr="00B53122">
        <w:rPr>
          <w:rFonts w:asciiTheme="minorHAnsi" w:eastAsia="Tahoma" w:hAnsiTheme="minorHAnsi" w:cstheme="minorHAnsi"/>
          <w:sz w:val="24"/>
        </w:rPr>
        <w:t>Počet stížností podaných podle §16a, důvody jejich podání a stručný popis způsobu jejich vyřízení: 0</w:t>
      </w:r>
    </w:p>
    <w:p w:rsidR="00B53122" w:rsidRPr="00B53122" w:rsidRDefault="00B53122" w:rsidP="00B53122">
      <w:pPr>
        <w:autoSpaceDE w:val="0"/>
        <w:spacing w:line="360" w:lineRule="auto"/>
        <w:rPr>
          <w:rFonts w:asciiTheme="minorHAnsi" w:eastAsia="Tahoma" w:hAnsiTheme="minorHAnsi" w:cstheme="minorHAnsi"/>
          <w:sz w:val="24"/>
        </w:rPr>
      </w:pPr>
      <w:r w:rsidRPr="00B53122">
        <w:rPr>
          <w:rFonts w:asciiTheme="minorHAnsi" w:eastAsia="Tahoma" w:hAnsiTheme="minorHAnsi" w:cstheme="minorHAnsi"/>
          <w:sz w:val="24"/>
        </w:rPr>
        <w:t>Další informace vztahující se k uplatňování tohoto zákona: nejsou.</w:t>
      </w:r>
    </w:p>
    <w:p w:rsidR="00B53122" w:rsidRPr="00B53122" w:rsidRDefault="00B53122" w:rsidP="00B53122">
      <w:pPr>
        <w:autoSpaceDE w:val="0"/>
        <w:spacing w:line="360" w:lineRule="auto"/>
        <w:rPr>
          <w:rFonts w:asciiTheme="minorHAnsi" w:eastAsia="Tahoma" w:hAnsiTheme="minorHAnsi" w:cstheme="minorHAnsi"/>
          <w:sz w:val="24"/>
        </w:rPr>
      </w:pPr>
    </w:p>
    <w:p w:rsidR="00B53122" w:rsidRPr="00B53122" w:rsidRDefault="00B53122" w:rsidP="00B53122">
      <w:pPr>
        <w:autoSpaceDE w:val="0"/>
        <w:spacing w:line="360" w:lineRule="auto"/>
        <w:rPr>
          <w:rFonts w:asciiTheme="minorHAnsi" w:eastAsia="Tahoma" w:hAnsiTheme="minorHAnsi" w:cstheme="minorHAnsi"/>
          <w:sz w:val="24"/>
        </w:rPr>
      </w:pPr>
    </w:p>
    <w:p w:rsidR="00B53122" w:rsidRPr="00B53122" w:rsidRDefault="00B53122" w:rsidP="00B53122">
      <w:pPr>
        <w:autoSpaceDE w:val="0"/>
        <w:spacing w:line="360" w:lineRule="auto"/>
        <w:rPr>
          <w:rFonts w:asciiTheme="minorHAnsi" w:eastAsia="Tahoma" w:hAnsiTheme="minorHAnsi" w:cstheme="minorHAnsi"/>
          <w:sz w:val="24"/>
        </w:rPr>
      </w:pPr>
      <w:r w:rsidRPr="00B53122">
        <w:rPr>
          <w:rFonts w:asciiTheme="minorHAnsi" w:eastAsia="Tahoma" w:hAnsiTheme="minorHAnsi" w:cstheme="minorHAnsi"/>
          <w:sz w:val="24"/>
        </w:rPr>
        <w:t>V Brně 2</w:t>
      </w:r>
      <w:r>
        <w:rPr>
          <w:rFonts w:asciiTheme="minorHAnsi" w:eastAsia="Tahoma" w:hAnsiTheme="minorHAnsi" w:cstheme="minorHAnsi"/>
          <w:sz w:val="24"/>
        </w:rPr>
        <w:t>0</w:t>
      </w:r>
      <w:r w:rsidRPr="00B53122">
        <w:rPr>
          <w:rFonts w:asciiTheme="minorHAnsi" w:eastAsia="Tahoma" w:hAnsiTheme="minorHAnsi" w:cstheme="minorHAnsi"/>
          <w:sz w:val="24"/>
        </w:rPr>
        <w:t>.2.202</w:t>
      </w:r>
      <w:r>
        <w:rPr>
          <w:rFonts w:asciiTheme="minorHAnsi" w:eastAsia="Tahoma" w:hAnsiTheme="minorHAnsi" w:cstheme="minorHAnsi"/>
          <w:sz w:val="24"/>
        </w:rPr>
        <w:t>5</w:t>
      </w:r>
      <w:bookmarkStart w:id="0" w:name="_GoBack"/>
      <w:bookmarkEnd w:id="0"/>
    </w:p>
    <w:p w:rsidR="00B53122" w:rsidRPr="00B53122" w:rsidRDefault="00B53122" w:rsidP="00B53122">
      <w:pPr>
        <w:rPr>
          <w:rFonts w:asciiTheme="minorHAnsi" w:hAnsiTheme="minorHAnsi" w:cstheme="minorHAnsi"/>
          <w:b/>
          <w:color w:val="00000A"/>
          <w:sz w:val="24"/>
          <w:u w:val="single"/>
          <w:lang w:val="cs"/>
        </w:rPr>
      </w:pPr>
      <w:r w:rsidRPr="00B53122">
        <w:rPr>
          <w:rFonts w:asciiTheme="minorHAnsi" w:hAnsiTheme="minorHAnsi" w:cstheme="minorHAnsi"/>
          <w:sz w:val="24"/>
        </w:rPr>
        <w:t xml:space="preserve">  </w:t>
      </w:r>
    </w:p>
    <w:p w:rsidR="00B53122" w:rsidRPr="00B53122" w:rsidRDefault="00B53122" w:rsidP="00B53122">
      <w:pPr>
        <w:jc w:val="center"/>
        <w:rPr>
          <w:rFonts w:asciiTheme="minorHAnsi" w:hAnsiTheme="minorHAnsi" w:cstheme="minorHAnsi"/>
          <w:b/>
          <w:color w:val="00000A"/>
          <w:sz w:val="24"/>
          <w:u w:val="single"/>
          <w:lang w:val="cs"/>
        </w:rPr>
      </w:pPr>
    </w:p>
    <w:p w:rsidR="00B53122" w:rsidRPr="00B53122" w:rsidRDefault="00B53122" w:rsidP="00B53122">
      <w:pPr>
        <w:jc w:val="center"/>
        <w:rPr>
          <w:rFonts w:asciiTheme="minorHAnsi" w:hAnsiTheme="minorHAnsi" w:cstheme="minorHAnsi"/>
          <w:b/>
          <w:color w:val="00000A"/>
          <w:sz w:val="24"/>
          <w:u w:val="single"/>
          <w:lang w:val="cs"/>
        </w:rPr>
      </w:pPr>
    </w:p>
    <w:p w:rsidR="00B53122" w:rsidRPr="00B53122" w:rsidRDefault="00B53122" w:rsidP="00B53122">
      <w:pPr>
        <w:ind w:left="4479"/>
        <w:jc w:val="center"/>
        <w:rPr>
          <w:rFonts w:asciiTheme="minorHAnsi" w:hAnsiTheme="minorHAnsi" w:cstheme="minorHAnsi"/>
          <w:b/>
          <w:color w:val="00000A"/>
          <w:sz w:val="24"/>
          <w:lang w:val="cs"/>
        </w:rPr>
      </w:pPr>
    </w:p>
    <w:p w:rsidR="00B53122" w:rsidRPr="00B53122" w:rsidRDefault="00B53122" w:rsidP="00B53122">
      <w:pPr>
        <w:ind w:left="4479"/>
        <w:jc w:val="center"/>
        <w:rPr>
          <w:rFonts w:asciiTheme="minorHAnsi" w:hAnsiTheme="minorHAnsi" w:cstheme="minorHAnsi"/>
          <w:color w:val="00000A"/>
          <w:sz w:val="24"/>
          <w:lang w:val="cs"/>
        </w:rPr>
      </w:pPr>
      <w:r w:rsidRPr="00B53122">
        <w:rPr>
          <w:rFonts w:asciiTheme="minorHAnsi" w:hAnsiTheme="minorHAnsi" w:cstheme="minorHAnsi"/>
          <w:color w:val="00000A"/>
          <w:sz w:val="24"/>
          <w:lang w:val="cs"/>
        </w:rPr>
        <w:t>Mgr. Markéta Brázdová</w:t>
      </w:r>
    </w:p>
    <w:p w:rsidR="00B53122" w:rsidRPr="00B53122" w:rsidRDefault="00B53122" w:rsidP="00B53122">
      <w:pPr>
        <w:ind w:left="4479"/>
        <w:jc w:val="center"/>
        <w:rPr>
          <w:rFonts w:asciiTheme="minorHAnsi" w:hAnsiTheme="minorHAnsi" w:cstheme="minorHAnsi"/>
          <w:color w:val="00000A"/>
          <w:sz w:val="24"/>
          <w:lang w:val="cs"/>
        </w:rPr>
      </w:pPr>
      <w:r w:rsidRPr="00B53122">
        <w:rPr>
          <w:rFonts w:asciiTheme="minorHAnsi" w:hAnsiTheme="minorHAnsi" w:cstheme="minorHAnsi"/>
          <w:color w:val="00000A"/>
          <w:sz w:val="24"/>
          <w:lang w:val="cs"/>
        </w:rPr>
        <w:t>ředitelka MŠ</w:t>
      </w:r>
    </w:p>
    <w:p w:rsidR="00B53122" w:rsidRPr="00B53122" w:rsidRDefault="00B53122" w:rsidP="00B53122">
      <w:pPr>
        <w:jc w:val="both"/>
        <w:rPr>
          <w:rFonts w:asciiTheme="minorHAnsi" w:hAnsiTheme="minorHAnsi" w:cstheme="minorHAnsi"/>
          <w:b/>
          <w:sz w:val="24"/>
          <w:u w:val="single"/>
        </w:rPr>
      </w:pPr>
    </w:p>
    <w:p w:rsidR="00B53122" w:rsidRPr="00B53122" w:rsidRDefault="00B53122" w:rsidP="00B53122">
      <w:pPr>
        <w:jc w:val="both"/>
        <w:rPr>
          <w:rFonts w:asciiTheme="minorHAnsi" w:hAnsiTheme="minorHAnsi" w:cstheme="minorHAnsi"/>
          <w:b/>
          <w:sz w:val="24"/>
          <w:u w:val="single"/>
        </w:rPr>
      </w:pPr>
    </w:p>
    <w:sectPr w:rsidR="00B53122" w:rsidRPr="00B53122" w:rsidSect="002B60F0">
      <w:headerReference w:type="default" r:id="rId7"/>
      <w:pgSz w:w="11906" w:h="16838"/>
      <w:pgMar w:top="1417" w:right="1417" w:bottom="1417" w:left="1417" w:header="1701" w:footer="226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1A48" w:rsidRDefault="00A31A48" w:rsidP="00D529BE">
      <w:r>
        <w:separator/>
      </w:r>
    </w:p>
  </w:endnote>
  <w:endnote w:type="continuationSeparator" w:id="0">
    <w:p w:rsidR="00A31A48" w:rsidRDefault="00A31A48" w:rsidP="00D529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 (Nadpisy CS)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1A48" w:rsidRDefault="00A31A48" w:rsidP="00D529BE">
      <w:r>
        <w:separator/>
      </w:r>
    </w:p>
  </w:footnote>
  <w:footnote w:type="continuationSeparator" w:id="0">
    <w:p w:rsidR="00A31A48" w:rsidRDefault="00A31A48" w:rsidP="00D529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29BE" w:rsidRDefault="00652FEF" w:rsidP="00D529BE">
    <w:pPr>
      <w:pStyle w:val="Zhlav"/>
      <w:ind w:left="-567"/>
    </w:pPr>
    <w:r>
      <w:rPr>
        <w:noProof/>
        <w:lang w:eastAsia="cs-CZ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-917575</wp:posOffset>
          </wp:positionH>
          <wp:positionV relativeFrom="paragraph">
            <wp:posOffset>-1080580</wp:posOffset>
          </wp:positionV>
          <wp:extent cx="7595758" cy="10692000"/>
          <wp:effectExtent l="0" t="0" r="0" b="1905"/>
          <wp:wrapNone/>
          <wp:docPr id="1152050584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2050584" name="Obrázek 115205058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5758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2A31E0"/>
    <w:multiLevelType w:val="multilevel"/>
    <w:tmpl w:val="7E785A9A"/>
    <w:lvl w:ilvl="0">
      <w:start w:val="1"/>
      <w:numFmt w:val="decimal"/>
      <w:pStyle w:val="Odstavecseseznamem"/>
      <w:lvlText w:val="%1)"/>
      <w:lvlJc w:val="left"/>
      <w:pPr>
        <w:ind w:left="786" w:hanging="360"/>
      </w:pPr>
      <w:rPr>
        <w:b/>
        <w:bCs/>
        <w:color w:val="000000" w:themeColor="text1"/>
      </w:rPr>
    </w:lvl>
    <w:lvl w:ilvl="1">
      <w:start w:val="1"/>
      <w:numFmt w:val="lowerLetter"/>
      <w:lvlText w:val="%2)"/>
      <w:lvlJc w:val="left"/>
      <w:pPr>
        <w:ind w:left="1212" w:hanging="360"/>
      </w:pPr>
      <w:rPr>
        <w:b/>
        <w:bCs/>
        <w:color w:val="000000" w:themeColor="text1"/>
      </w:rPr>
    </w:lvl>
    <w:lvl w:ilvl="2">
      <w:start w:val="1"/>
      <w:numFmt w:val="lowerRoman"/>
      <w:lvlText w:val="%3)"/>
      <w:lvlJc w:val="left"/>
      <w:pPr>
        <w:ind w:left="1648" w:hanging="360"/>
      </w:pPr>
    </w:lvl>
    <w:lvl w:ilvl="3">
      <w:start w:val="1"/>
      <w:numFmt w:val="decimal"/>
      <w:lvlText w:val="(%4)"/>
      <w:lvlJc w:val="left"/>
      <w:pPr>
        <w:ind w:left="2008" w:hanging="360"/>
      </w:pPr>
    </w:lvl>
    <w:lvl w:ilvl="4">
      <w:start w:val="1"/>
      <w:numFmt w:val="lowerLetter"/>
      <w:lvlText w:val="(%5)"/>
      <w:lvlJc w:val="left"/>
      <w:pPr>
        <w:ind w:left="2368" w:hanging="360"/>
      </w:pPr>
    </w:lvl>
    <w:lvl w:ilvl="5">
      <w:start w:val="1"/>
      <w:numFmt w:val="lowerRoman"/>
      <w:lvlText w:val="(%6)"/>
      <w:lvlJc w:val="left"/>
      <w:pPr>
        <w:ind w:left="2728" w:hanging="360"/>
      </w:pPr>
    </w:lvl>
    <w:lvl w:ilvl="6">
      <w:start w:val="1"/>
      <w:numFmt w:val="decimal"/>
      <w:lvlText w:val="%7."/>
      <w:lvlJc w:val="left"/>
      <w:pPr>
        <w:ind w:left="3088" w:hanging="360"/>
      </w:pPr>
    </w:lvl>
    <w:lvl w:ilvl="7">
      <w:start w:val="1"/>
      <w:numFmt w:val="lowerLetter"/>
      <w:lvlText w:val="%8."/>
      <w:lvlJc w:val="left"/>
      <w:pPr>
        <w:ind w:left="3448" w:hanging="360"/>
      </w:pPr>
    </w:lvl>
    <w:lvl w:ilvl="8">
      <w:start w:val="1"/>
      <w:numFmt w:val="lowerRoman"/>
      <w:lvlText w:val="%9."/>
      <w:lvlJc w:val="left"/>
      <w:pPr>
        <w:ind w:left="3808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122"/>
    <w:rsid w:val="00092583"/>
    <w:rsid w:val="001605D9"/>
    <w:rsid w:val="002842B9"/>
    <w:rsid w:val="002B60F0"/>
    <w:rsid w:val="002F7BEC"/>
    <w:rsid w:val="00302495"/>
    <w:rsid w:val="004611DF"/>
    <w:rsid w:val="004C6337"/>
    <w:rsid w:val="00536ED2"/>
    <w:rsid w:val="005D6F1A"/>
    <w:rsid w:val="00621670"/>
    <w:rsid w:val="00652FEF"/>
    <w:rsid w:val="007C4A99"/>
    <w:rsid w:val="007D553A"/>
    <w:rsid w:val="0080464C"/>
    <w:rsid w:val="009B3098"/>
    <w:rsid w:val="00A31A48"/>
    <w:rsid w:val="00B309B3"/>
    <w:rsid w:val="00B3535A"/>
    <w:rsid w:val="00B53122"/>
    <w:rsid w:val="00BF40F1"/>
    <w:rsid w:val="00C45299"/>
    <w:rsid w:val="00C45BEE"/>
    <w:rsid w:val="00CA574B"/>
    <w:rsid w:val="00D52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9B589B"/>
  <w15:chartTrackingRefBased/>
  <w15:docId w15:val="{92E79787-C7DA-4B5B-A5FB-5CB65E02C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5D6F1A"/>
    <w:pPr>
      <w:spacing w:line="288" w:lineRule="auto"/>
    </w:pPr>
    <w:rPr>
      <w:rFonts w:ascii="Arial" w:hAnsi="Arial"/>
      <w:sz w:val="22"/>
    </w:rPr>
  </w:style>
  <w:style w:type="paragraph" w:styleId="Nadpis1">
    <w:name w:val="heading 1"/>
    <w:basedOn w:val="Normln"/>
    <w:next w:val="Normln"/>
    <w:link w:val="Nadpis1Char"/>
    <w:uiPriority w:val="9"/>
    <w:qFormat/>
    <w:rsid w:val="007D553A"/>
    <w:pPr>
      <w:keepNext/>
      <w:keepLines/>
      <w:spacing w:before="240" w:after="240"/>
      <w:outlineLvl w:val="0"/>
    </w:pPr>
    <w:rPr>
      <w:rFonts w:eastAsiaTheme="majorEastAsia" w:cstheme="majorBidi"/>
      <w:b/>
      <w:color w:val="EF5938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7D553A"/>
    <w:pPr>
      <w:keepNext/>
      <w:keepLines/>
      <w:spacing w:before="40" w:after="160"/>
      <w:outlineLvl w:val="1"/>
    </w:pPr>
    <w:rPr>
      <w:rFonts w:eastAsiaTheme="majorEastAsia" w:cstheme="majorBidi"/>
      <w:b/>
      <w:color w:val="EF5938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5D6F1A"/>
    <w:pPr>
      <w:keepNext/>
      <w:keepLines/>
      <w:spacing w:before="40" w:after="160"/>
      <w:outlineLvl w:val="2"/>
    </w:pPr>
    <w:rPr>
      <w:rFonts w:eastAsiaTheme="majorEastAsia" w:cs="Times New Roman (Nadpisy CS)"/>
      <w:b/>
      <w:color w:val="EE9833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5D6F1A"/>
    <w:pPr>
      <w:keepNext/>
      <w:keepLines/>
      <w:spacing w:before="40"/>
      <w:outlineLvl w:val="3"/>
    </w:pPr>
    <w:rPr>
      <w:rFonts w:eastAsiaTheme="majorEastAsia" w:cstheme="majorBidi"/>
      <w:i/>
      <w:iCs/>
      <w:color w:val="EE9833"/>
    </w:rPr>
  </w:style>
  <w:style w:type="paragraph" w:styleId="Nadpis5">
    <w:name w:val="heading 5"/>
    <w:basedOn w:val="Normln"/>
    <w:next w:val="Normln"/>
    <w:link w:val="Nadpis5Char"/>
    <w:uiPriority w:val="9"/>
    <w:unhideWhenUsed/>
    <w:rsid w:val="007D553A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EE9833"/>
    </w:rPr>
  </w:style>
  <w:style w:type="paragraph" w:styleId="Nadpis6">
    <w:name w:val="heading 6"/>
    <w:basedOn w:val="Normln"/>
    <w:next w:val="Normln"/>
    <w:link w:val="Nadpis6Char"/>
    <w:uiPriority w:val="9"/>
    <w:unhideWhenUsed/>
    <w:rsid w:val="007D553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D529BE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D529BE"/>
  </w:style>
  <w:style w:type="paragraph" w:styleId="Zpat">
    <w:name w:val="footer"/>
    <w:basedOn w:val="Normln"/>
    <w:link w:val="ZpatChar"/>
    <w:uiPriority w:val="99"/>
    <w:unhideWhenUsed/>
    <w:rsid w:val="00D529BE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D529BE"/>
  </w:style>
  <w:style w:type="paragraph" w:styleId="Bezmezer">
    <w:name w:val="No Spacing"/>
    <w:uiPriority w:val="1"/>
    <w:qFormat/>
    <w:rsid w:val="005D6F1A"/>
    <w:pPr>
      <w:spacing w:line="288" w:lineRule="auto"/>
    </w:pPr>
    <w:rPr>
      <w:rFonts w:ascii="Arial" w:hAnsi="Arial"/>
      <w:sz w:val="22"/>
    </w:rPr>
  </w:style>
  <w:style w:type="character" w:customStyle="1" w:styleId="Nadpis1Char">
    <w:name w:val="Nadpis 1 Char"/>
    <w:basedOn w:val="Standardnpsmoodstavce"/>
    <w:link w:val="Nadpis1"/>
    <w:uiPriority w:val="9"/>
    <w:rsid w:val="007D553A"/>
    <w:rPr>
      <w:rFonts w:ascii="Lucida Sans" w:eastAsiaTheme="majorEastAsia" w:hAnsi="Lucida Sans" w:cstheme="majorBidi"/>
      <w:b/>
      <w:color w:val="EF5938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7D553A"/>
    <w:rPr>
      <w:rFonts w:ascii="Lucida Sans" w:eastAsiaTheme="majorEastAsia" w:hAnsi="Lucida Sans" w:cstheme="majorBidi"/>
      <w:b/>
      <w:color w:val="EF5938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5D6F1A"/>
    <w:rPr>
      <w:rFonts w:ascii="Arial" w:eastAsiaTheme="majorEastAsia" w:hAnsi="Arial" w:cs="Times New Roman (Nadpisy CS)"/>
      <w:b/>
      <w:color w:val="EE9833"/>
      <w:sz w:val="22"/>
    </w:rPr>
  </w:style>
  <w:style w:type="character" w:customStyle="1" w:styleId="Nadpis4Char">
    <w:name w:val="Nadpis 4 Char"/>
    <w:basedOn w:val="Standardnpsmoodstavce"/>
    <w:link w:val="Nadpis4"/>
    <w:uiPriority w:val="9"/>
    <w:rsid w:val="005D6F1A"/>
    <w:rPr>
      <w:rFonts w:ascii="Arial" w:eastAsiaTheme="majorEastAsia" w:hAnsi="Arial" w:cstheme="majorBidi"/>
      <w:i/>
      <w:iCs/>
      <w:color w:val="EE9833"/>
      <w:sz w:val="22"/>
    </w:rPr>
  </w:style>
  <w:style w:type="character" w:customStyle="1" w:styleId="Nadpis5Char">
    <w:name w:val="Nadpis 5 Char"/>
    <w:basedOn w:val="Standardnpsmoodstavce"/>
    <w:link w:val="Nadpis5"/>
    <w:uiPriority w:val="9"/>
    <w:rsid w:val="007D553A"/>
    <w:rPr>
      <w:rFonts w:asciiTheme="majorHAnsi" w:eastAsiaTheme="majorEastAsia" w:hAnsiTheme="majorHAnsi" w:cstheme="majorBidi"/>
      <w:color w:val="EE9833"/>
    </w:rPr>
  </w:style>
  <w:style w:type="character" w:customStyle="1" w:styleId="Nadpis6Char">
    <w:name w:val="Nadpis 6 Char"/>
    <w:basedOn w:val="Standardnpsmoodstavce"/>
    <w:link w:val="Nadpis6"/>
    <w:uiPriority w:val="9"/>
    <w:rsid w:val="007D553A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7D553A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Cs w:val="22"/>
    </w:rPr>
  </w:style>
  <w:style w:type="character" w:customStyle="1" w:styleId="PodnadpisChar">
    <w:name w:val="Podnadpis Char"/>
    <w:basedOn w:val="Standardnpsmoodstavce"/>
    <w:link w:val="Podnadpis"/>
    <w:uiPriority w:val="11"/>
    <w:rsid w:val="007D553A"/>
    <w:rPr>
      <w:rFonts w:ascii="Lucida Sans" w:eastAsiaTheme="minorEastAsia" w:hAnsi="Lucida Sans"/>
      <w:color w:val="5A5A5A" w:themeColor="text1" w:themeTint="A5"/>
      <w:spacing w:val="15"/>
      <w:sz w:val="22"/>
      <w:szCs w:val="22"/>
    </w:rPr>
  </w:style>
  <w:style w:type="paragraph" w:styleId="Odstavecseseznamem">
    <w:name w:val="List Paragraph"/>
    <w:basedOn w:val="Normln"/>
    <w:uiPriority w:val="34"/>
    <w:qFormat/>
    <w:rsid w:val="007D553A"/>
    <w:pPr>
      <w:numPr>
        <w:numId w:val="1"/>
      </w:numPr>
      <w:spacing w:line="360" w:lineRule="auto"/>
      <w:ind w:left="924" w:hanging="357"/>
      <w:contextualSpacing/>
    </w:pPr>
  </w:style>
  <w:style w:type="character" w:styleId="Zdraznnjemn">
    <w:name w:val="Subtle Emphasis"/>
    <w:basedOn w:val="Standardnpsmoodstavce"/>
    <w:uiPriority w:val="19"/>
    <w:qFormat/>
    <w:rsid w:val="005D6F1A"/>
    <w:rPr>
      <w:rFonts w:ascii="Arial" w:hAnsi="Arial"/>
      <w:i/>
      <w:iCs/>
      <w:color w:val="404040" w:themeColor="text1" w:themeTint="BF"/>
    </w:rPr>
  </w:style>
  <w:style w:type="character" w:styleId="Zdraznn">
    <w:name w:val="Emphasis"/>
    <w:basedOn w:val="Standardnpsmoodstavce"/>
    <w:uiPriority w:val="20"/>
    <w:qFormat/>
    <w:rsid w:val="007D553A"/>
    <w:rPr>
      <w:i/>
      <w:iCs/>
    </w:rPr>
  </w:style>
  <w:style w:type="character" w:styleId="Zdraznnintenzivn">
    <w:name w:val="Intense Emphasis"/>
    <w:basedOn w:val="Standardnpsmoodstavce"/>
    <w:uiPriority w:val="21"/>
    <w:qFormat/>
    <w:rsid w:val="007D553A"/>
    <w:rPr>
      <w:i/>
      <w:iCs/>
      <w:color w:val="413253"/>
    </w:rPr>
  </w:style>
  <w:style w:type="character" w:styleId="Siln">
    <w:name w:val="Strong"/>
    <w:basedOn w:val="Standardnpsmoodstavce"/>
    <w:uiPriority w:val="22"/>
    <w:qFormat/>
    <w:rsid w:val="007D553A"/>
    <w:rPr>
      <w:b/>
      <w:bCs/>
    </w:rPr>
  </w:style>
  <w:style w:type="paragraph" w:styleId="Citt">
    <w:name w:val="Quote"/>
    <w:basedOn w:val="Normln"/>
    <w:next w:val="Normln"/>
    <w:link w:val="CittChar"/>
    <w:uiPriority w:val="29"/>
    <w:qFormat/>
    <w:rsid w:val="007D553A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7D553A"/>
    <w:rPr>
      <w:rFonts w:ascii="Lucida Sans" w:hAnsi="Lucida Sans"/>
      <w:i/>
      <w:iCs/>
      <w:color w:val="404040" w:themeColor="text1" w:themeTint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7D553A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EF5938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7D553A"/>
    <w:rPr>
      <w:rFonts w:ascii="Lucida Sans" w:hAnsi="Lucida Sans"/>
      <w:i/>
      <w:iCs/>
      <w:color w:val="EF5938"/>
    </w:rPr>
  </w:style>
  <w:style w:type="character" w:styleId="Odkazjemn">
    <w:name w:val="Subtle Reference"/>
    <w:basedOn w:val="Standardnpsmoodstavce"/>
    <w:uiPriority w:val="31"/>
    <w:rsid w:val="007D553A"/>
    <w:rPr>
      <w:smallCaps/>
      <w:color w:val="5A5A5A" w:themeColor="text1" w:themeTint="A5"/>
    </w:rPr>
  </w:style>
  <w:style w:type="paragraph" w:styleId="Nzev">
    <w:name w:val="Title"/>
    <w:basedOn w:val="Normln"/>
    <w:next w:val="Normln"/>
    <w:link w:val="NzevChar"/>
    <w:uiPriority w:val="10"/>
    <w:qFormat/>
    <w:rsid w:val="007D553A"/>
    <w:pPr>
      <w:contextualSpacing/>
    </w:pPr>
    <w:rPr>
      <w:rFonts w:eastAsiaTheme="majorEastAsia" w:cs="Times New Roman (Nadpisy CS)"/>
      <w:b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7D553A"/>
    <w:rPr>
      <w:rFonts w:ascii="Lucida Sans" w:eastAsiaTheme="majorEastAsia" w:hAnsi="Lucida Sans" w:cs="Times New Roman (Nadpisy CS)"/>
      <w:b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7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1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4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zivatel\AppData\Local\Temp\Rar$DI01.078\202409_sablona-hlavickovy-papir-MS-Zdislava_02.dotx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202409_sablona-hlavickovy-papir-MS-Zdislava_02.dotx</Template>
  <TotalTime>2</TotalTime>
  <Pages>2</Pages>
  <Words>295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locadm@email.cz</dc:creator>
  <cp:keywords/>
  <dc:description/>
  <cp:lastModifiedBy>Brázdová, Markéta</cp:lastModifiedBy>
  <cp:revision>1</cp:revision>
  <dcterms:created xsi:type="dcterms:W3CDTF">2025-02-20T10:54:00Z</dcterms:created>
  <dcterms:modified xsi:type="dcterms:W3CDTF">2025-02-20T10:56:00Z</dcterms:modified>
</cp:coreProperties>
</file>